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Unfortunately, and regrettably, no official minutes were taken due to the nature of the situation. Regardless, this was a shortcoming on my part, but I can summarize what happened during the meeting.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There were 18 in attendance, all exec, and the rest voting members.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talked about the Exec COVID-19 Statement.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passed a bylaw amendment for the endowment committee saying we would write a resolution reaffirming its purpose every year in October.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Candidates Meeting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Canceling 3/11 meeting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Having 3/15 meeting over Blue Jeans at 7:00pm EST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Candidates Forum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Will get questions from the general body to pose to candidates. Will require written answers by 3/20 (the original forum date). Answers will be posted on the LSASG website and social media.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Video answers are optional for those running for representatives and will also be posted onto the LSASG website and social media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Video answers will be mandatory for those running on the presidential ticket and will also be posted onto the LSASG website and social media.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The Michigan Daily will be contacted to see an article can be written specifically about the presidential tickets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-Allocate money to market election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General Attendance Requirement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0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This requirement will be waived for all running in the elections unless there are online meetings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Presidential Debate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The candidates' forum and Michigan Daily article (tentative) will replace the presidential debate.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Ask both candidate tickets if they are comfortable having a physical executive debate, if not then Michigan Daily article. 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Many of these things changed due to the ever-evolving situation.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(This information per Nicolas Pereira on 4/6/2020)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